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444"/>
        <w:gridCol w:w="115"/>
        <w:gridCol w:w="114"/>
        <w:gridCol w:w="230"/>
        <w:gridCol w:w="2034"/>
        <w:gridCol w:w="1806"/>
        <w:gridCol w:w="214"/>
        <w:gridCol w:w="115"/>
        <w:gridCol w:w="1247"/>
        <w:gridCol w:w="344"/>
        <w:gridCol w:w="100"/>
        <w:gridCol w:w="1590"/>
        <w:gridCol w:w="115"/>
        <w:gridCol w:w="215"/>
        <w:gridCol w:w="344"/>
        <w:gridCol w:w="229"/>
        <w:gridCol w:w="1691"/>
        <w:gridCol w:w="902"/>
        <w:gridCol w:w="330"/>
        <w:gridCol w:w="114"/>
        <w:gridCol w:w="115"/>
        <w:gridCol w:w="115"/>
        <w:gridCol w:w="1361"/>
        <w:gridCol w:w="100"/>
        <w:gridCol w:w="229"/>
        <w:gridCol w:w="115"/>
        <w:gridCol w:w="229"/>
        <w:gridCol w:w="115"/>
        <w:gridCol w:w="903"/>
        <w:gridCol w:w="57"/>
      </w:tblGrid>
      <w:tr>
        <w:trPr>
          <w:trHeight w:hRule="exact" w:val="444"/>
        </w:trPr>
        <w:tc>
          <w:tcPr>
            <w:tcW w:w="559" w:type="dxa"/>
            <w:gridSpan w:val="2"/>
          </w:tcPr>
          <w:p/>
        </w:tc>
        <w:tc>
          <w:tcPr>
            <w:tcW w:w="4513" w:type="dxa"/>
            <w:gridSpan w:val="6"/>
            <w:tcBorders>
              <w:bottom w:val="single" w:sz="15" w:space="0" w:color="000000"/>
            </w:tcBorders>
          </w:tcPr>
          <w:p/>
        </w:tc>
        <w:tc>
          <w:tcPr>
            <w:tcW w:w="5875" w:type="dxa"/>
            <w:gridSpan w:val="9"/>
          </w:tcPr>
          <w:p/>
        </w:tc>
        <w:tc>
          <w:tcPr>
            <w:tcW w:w="4628" w:type="dxa"/>
            <w:gridSpan w:val="12"/>
            <w:vMerge w:val="restart"/>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Приложение N 1</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 Порядку составления и ведения планов</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финансово - хозяйственной деятельности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федеральных бюджетных 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автономных учреждений,</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утвержденному приказом Министерства</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 Российской Федерации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от 17.08.2020 N 168н</w:t>
            </w:r>
          </w:p>
        </w:tc>
        <w:tc>
          <w:tcPr>
            <w:tcW w:w="57" w:type="dxa"/>
          </w:tcPr>
          <w:p/>
        </w:tc>
      </w:tr>
      <w:tr>
        <w:trPr>
          <w:trHeight w:hRule="exact" w:val="229"/>
        </w:trPr>
        <w:tc>
          <w:tcPr>
            <w:tcW w:w="559" w:type="dxa"/>
            <w:gridSpan w:val="2"/>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51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58"/>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29"/>
        </w:trPr>
        <w:tc>
          <w:tcPr>
            <w:tcW w:w="559" w:type="dxa"/>
            <w:gridSpan w:val="2"/>
            <w:tcBorders>
              <w:right w:val="single" w:sz="15" w:space="0" w:color="000000"/>
            </w:tcBorders>
          </w:tcPr>
          <w:p/>
        </w:tc>
        <w:tc>
          <w:tcPr>
            <w:tcW w:w="344" w:type="dxa"/>
            <w:gridSpan w:val="2"/>
            <w:tcBorders>
              <w:left w:val="single" w:sz="15" w:space="0" w:color="000000"/>
            </w:tcBorders>
          </w:tcPr>
          <w:p/>
        </w:tc>
        <w:tc>
          <w:tcPr>
            <w:tcW w:w="3840" w:type="dxa"/>
            <w:gridSpan w:val="2"/>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329" w:type="dxa"/>
            <w:gridSpan w:val="2"/>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15"/>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4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025EBCDA0086B37190441EA01429896C12</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Чайка Юлия Александровна</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3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Утверждаю</w:t>
            </w:r>
          </w:p>
        </w:tc>
        <w:tc>
          <w:tcPr>
            <w:tcW w:w="57" w:type="dxa"/>
          </w:tcPr>
          <w:p/>
        </w:tc>
      </w:tr>
      <w:tr>
        <w:trPr>
          <w:trHeight w:hRule="exact" w:val="114"/>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ИСПОЛНЯЮЩАЯ ОБЯЗАННОСТИ ДИРЕКТОРА:</w:t>
            </w:r>
          </w:p>
        </w:tc>
        <w:tc>
          <w:tcPr>
            <w:tcW w:w="57" w:type="dxa"/>
          </w:tcPr>
          <w:p/>
        </w:tc>
      </w:tr>
      <w:tr>
        <w:trPr>
          <w:trHeight w:hRule="exact" w:val="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30.10.2025 по 30.01.2027</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8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должности уполномоченного лица)</w:t>
            </w:r>
          </w:p>
        </w:tc>
        <w:tc>
          <w:tcPr>
            <w:tcW w:w="57" w:type="dxa"/>
          </w:tcPr>
          <w:p/>
        </w:tc>
      </w:tr>
      <w:tr>
        <w:trPr>
          <w:trHeight w:hRule="exact" w:val="43"/>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ГОСУДАРСТВЕННОЕ БЮДЖЕТНОЕ НАУЧНОЕ УЧРЕЖДЕНИЕ "НАУЧНЫЙ ЦЕНТР ПСИХИЧЕСКОГО ЗДОРОВЬЯ"</w:t>
            </w:r>
          </w:p>
        </w:tc>
        <w:tc>
          <w:tcPr>
            <w:tcW w:w="57" w:type="dxa"/>
          </w:tcPr>
          <w:p/>
        </w:tc>
      </w:tr>
      <w:tr>
        <w:trPr>
          <w:trHeight w:hRule="exact" w:val="57"/>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502"/>
        </w:trPr>
        <w:tc>
          <w:tcPr>
            <w:tcW w:w="559" w:type="dxa"/>
            <w:gridSpan w:val="2"/>
          </w:tcPr>
          <w:p/>
        </w:tc>
        <w:tc>
          <w:tcPr>
            <w:tcW w:w="4513" w:type="dxa"/>
            <w:gridSpan w:val="6"/>
            <w:tcBorders>
              <w:top w:val="single" w:sz="15" w:space="0" w:color="000000"/>
            </w:tcBorders>
          </w:tcPr>
          <w:p/>
        </w:tc>
        <w:tc>
          <w:tcPr>
            <w:tcW w:w="5875" w:type="dxa"/>
            <w:gridSpan w:val="9"/>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29"/>
        </w:trPr>
        <w:tc>
          <w:tcPr>
            <w:tcW w:w="10947" w:type="dxa"/>
            <w:gridSpan w:val="17"/>
          </w:tcPr>
          <w:p/>
        </w:tc>
        <w:tc>
          <w:tcPr>
            <w:tcW w:w="4628" w:type="dxa"/>
            <w:gridSpan w:val="12"/>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органа-учредителя (учреждения)</w:t>
            </w:r>
          </w:p>
        </w:tc>
        <w:tc>
          <w:tcPr>
            <w:tcW w:w="57" w:type="dxa"/>
          </w:tcPr>
          <w:p/>
        </w:tc>
      </w:tr>
      <w:tr>
        <w:trPr>
          <w:trHeight w:hRule="exact" w:val="229"/>
        </w:trPr>
        <w:tc>
          <w:tcPr>
            <w:tcW w:w="10947" w:type="dxa"/>
            <w:gridSpan w:val="17"/>
          </w:tcPr>
          <w:p/>
        </w:tc>
        <w:tc>
          <w:tcPr>
            <w:tcW w:w="1461" w:type="dxa"/>
            <w:gridSpan w:val="4"/>
            <w:tcBorders>
              <w:bottom w:val="single" w:sz="5" w:space="0" w:color="000000"/>
            </w:tcBorders>
          </w:tcPr>
          <w:p/>
        </w:tc>
        <w:tc>
          <w:tcPr>
            <w:tcW w:w="115" w:type="dxa"/>
          </w:tcPr>
          <w:p/>
        </w:tc>
        <w:tc>
          <w:tcPr>
            <w:tcW w:w="3052" w:type="dxa"/>
            <w:gridSpan w:val="7"/>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ЧАЙКА Ю. А.</w:t>
            </w:r>
          </w:p>
        </w:tc>
        <w:tc>
          <w:tcPr>
            <w:tcW w:w="57" w:type="dxa"/>
          </w:tcPr>
          <w:p/>
        </w:tc>
      </w:tr>
      <w:tr>
        <w:trPr>
          <w:trHeight w:hRule="exact" w:val="215"/>
        </w:trPr>
        <w:tc>
          <w:tcPr>
            <w:tcW w:w="10947" w:type="dxa"/>
            <w:gridSpan w:val="17"/>
          </w:tcPr>
          <w:p/>
        </w:tc>
        <w:tc>
          <w:tcPr>
            <w:tcW w:w="1461" w:type="dxa"/>
            <w:gridSpan w:val="4"/>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(подпись)</w:t>
            </w:r>
          </w:p>
        </w:tc>
        <w:tc>
          <w:tcPr>
            <w:tcW w:w="115" w:type="dxa"/>
          </w:tcPr>
          <w:p/>
        </w:tc>
        <w:tc>
          <w:tcPr>
            <w:tcW w:w="3052" w:type="dxa"/>
            <w:gridSpan w:val="7"/>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(расшифровка подписи)</w:t>
            </w:r>
          </w:p>
        </w:tc>
        <w:tc>
          <w:tcPr>
            <w:tcW w:w="57" w:type="dxa"/>
          </w:tcPr>
          <w:p/>
        </w:tc>
      </w:tr>
      <w:tr>
        <w:trPr>
          <w:trHeight w:hRule="exact" w:val="115"/>
        </w:trPr>
        <w:tc>
          <w:tcPr>
            <w:tcW w:w="15632" w:type="dxa"/>
            <w:gridSpan w:val="30"/>
          </w:tcPr>
          <w:p/>
        </w:tc>
      </w:tr>
      <w:tr>
        <w:trPr>
          <w:trHeight w:hRule="exact" w:val="229"/>
        </w:trPr>
        <w:tc>
          <w:tcPr>
            <w:tcW w:w="11849" w:type="dxa"/>
            <w:gridSpan w:val="18"/>
          </w:tcPr>
          <w:p/>
        </w:tc>
        <w:tc>
          <w:tcPr>
            <w:tcW w:w="330"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"09"</w:t>
            </w:r>
          </w:p>
        </w:tc>
        <w:tc>
          <w:tcPr>
            <w:tcW w:w="114" w:type="dxa"/>
          </w:tcPr>
          <w:p/>
        </w:tc>
        <w:tc>
          <w:tcPr>
            <w:tcW w:w="1591" w:type="dxa"/>
            <w:gridSpan w:val="3"/>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Февраль</w:t>
            </w:r>
          </w:p>
        </w:tc>
        <w:tc>
          <w:tcPr>
            <w:tcW w:w="100" w:type="dxa"/>
          </w:tcPr>
          <w:p/>
        </w:tc>
        <w:tc>
          <w:tcPr>
            <w:tcW w:w="229"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gridSpan w:val="2"/>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115" w:type="dxa"/>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w:t>
            </w:r>
          </w:p>
        </w:tc>
        <w:tc>
          <w:tcPr>
            <w:tcW w:w="960" w:type="dxa"/>
            <w:gridSpan w:val="2"/>
          </w:tcPr>
          <w:p/>
        </w:tc>
      </w:tr>
      <w:tr>
        <w:trPr>
          <w:trHeight w:hRule="exact" w:val="229"/>
        </w:trPr>
        <w:tc>
          <w:tcPr>
            <w:tcW w:w="11849" w:type="dxa"/>
            <w:gridSpan w:val="18"/>
          </w:tcPr>
          <w:p/>
        </w:tc>
        <w:tc>
          <w:tcPr>
            <w:tcW w:w="330" w:type="dxa"/>
            <w:tcBorders>
              <w:top w:val="single" w:sz="5" w:space="0" w:color="000000"/>
            </w:tcBorders>
          </w:tcPr>
          <w:p/>
        </w:tc>
        <w:tc>
          <w:tcPr>
            <w:tcW w:w="114" w:type="dxa"/>
          </w:tcPr>
          <w:p/>
        </w:tc>
        <w:tc>
          <w:tcPr>
            <w:tcW w:w="1591" w:type="dxa"/>
            <w:gridSpan w:val="3"/>
            <w:tcBorders>
              <w:top w:val="single" w:sz="5" w:space="0" w:color="000000"/>
            </w:tcBorders>
          </w:tcPr>
          <w:p/>
        </w:tc>
        <w:tc>
          <w:tcPr>
            <w:tcW w:w="329" w:type="dxa"/>
            <w:gridSpan w:val="2"/>
          </w:tcPr>
          <w:p/>
        </w:tc>
        <w:tc>
          <w:tcPr>
            <w:tcW w:w="344" w:type="dxa"/>
            <w:gridSpan w:val="2"/>
            <w:tcBorders>
              <w:top w:val="single" w:sz="5" w:space="0" w:color="000000"/>
            </w:tcBorders>
          </w:tcPr>
          <w:p/>
        </w:tc>
        <w:tc>
          <w:tcPr>
            <w:tcW w:w="1075" w:type="dxa"/>
            <w:gridSpan w:val="3"/>
          </w:tcPr>
          <w:p/>
        </w:tc>
      </w:tr>
      <w:tr>
        <w:trPr>
          <w:trHeight w:hRule="exact" w:val="559"/>
        </w:trPr>
        <w:tc>
          <w:tcPr>
            <w:tcW w:w="15575" w:type="dxa"/>
            <w:gridSpan w:val="29"/>
            <w:shd w:val="clear" w:color="auto" w:fill="auto"/>
          </w:tcPr>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План финансово-хозяйственной деятельности на 2026 г.</w:t>
            </w:r>
          </w:p>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(на 2026 г. и плановый период 2027 и 2028 годов)</w:t>
            </w:r>
          </w:p>
        </w:tc>
        <w:tc>
          <w:tcPr>
            <w:tcW w:w="57" w:type="dxa"/>
          </w:tcPr>
          <w:p/>
        </w:tc>
      </w:tr>
      <w:tr>
        <w:trPr>
          <w:trHeight w:hRule="exact" w:val="115"/>
        </w:trPr>
        <w:tc>
          <w:tcPr>
            <w:tcW w:w="6319" w:type="dxa"/>
            <w:gridSpan w:val="9"/>
          </w:tcPr>
          <w:p/>
        </w:tc>
        <w:tc>
          <w:tcPr>
            <w:tcW w:w="344"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"09"</w:t>
            </w:r>
          </w:p>
        </w:tc>
        <w:tc>
          <w:tcPr>
            <w:tcW w:w="100" w:type="dxa"/>
          </w:tcPr>
          <w:p/>
        </w:tc>
        <w:tc>
          <w:tcPr>
            <w:tcW w:w="159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Февраль</w:t>
            </w:r>
          </w:p>
        </w:tc>
        <w:tc>
          <w:tcPr>
            <w:tcW w:w="115" w:type="dxa"/>
          </w:tcPr>
          <w:p/>
        </w:tc>
        <w:tc>
          <w:tcPr>
            <w:tcW w:w="215" w:type="dxa"/>
            <w:vMerge w:val="restart"/>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vMerge w:val="restart"/>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229" w:type="dxa"/>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w:t>
            </w:r>
          </w:p>
        </w:tc>
        <w:tc>
          <w:tcPr>
            <w:tcW w:w="5072" w:type="dxa"/>
            <w:gridSpan w:val="10"/>
          </w:tcPr>
          <w:p/>
        </w:tc>
        <w:tc>
          <w:tcPr>
            <w:tcW w:w="1247" w:type="dxa"/>
            <w:gridSpan w:val="3"/>
            <w:tcBorders>
              <w:bottom w:val="single" w:sz="15" w:space="0" w:color="000000"/>
            </w:tcBorders>
          </w:tcPr>
          <w:p/>
        </w:tc>
        <w:tc>
          <w:tcPr>
            <w:tcW w:w="57" w:type="dxa"/>
          </w:tcPr>
          <w:p/>
        </w:tc>
      </w:tr>
      <w:tr>
        <w:trPr>
          <w:trHeight w:hRule="exact" w:val="114"/>
        </w:trPr>
        <w:tc>
          <w:tcPr>
            <w:tcW w:w="6319" w:type="dxa"/>
            <w:gridSpan w:val="9"/>
          </w:tcPr>
          <w:p/>
        </w:tc>
        <w:tc>
          <w:tcPr>
            <w:tcW w:w="344" w:type="dxa"/>
            <w:vMerge/>
            <w:vAlign w:val="bottom"/>
            <w:tcBorders>
              <w:bottom w:val="single" w:sz="5" w:space="0" w:color="000000"/>
            </w:tcBorders>
            <w:shd w:val="clear" w:color="auto" w:fill="auto"/>
          </w:tcPr>
          <w:p/>
        </w:tc>
        <w:tc>
          <w:tcPr>
            <w:tcW w:w="100" w:type="dxa"/>
          </w:tcPr>
          <w:p/>
        </w:tc>
        <w:tc>
          <w:tcPr>
            <w:tcW w:w="1590" w:type="dxa"/>
            <w:vMerge/>
            <w:vAlign w:val="bottom"/>
            <w:tcBorders>
              <w:bottom w:val="single" w:sz="5" w:space="0" w:color="000000"/>
            </w:tcBorders>
            <w:shd w:val="clear" w:color="auto" w:fill="auto"/>
          </w:tcPr>
          <w:p/>
        </w:tc>
        <w:tc>
          <w:tcPr>
            <w:tcW w:w="115" w:type="dxa"/>
          </w:tcPr>
          <w:p/>
        </w:tc>
        <w:tc>
          <w:tcPr>
            <w:tcW w:w="215" w:type="dxa"/>
            <w:vMerge/>
            <w:vAlign w:val="bottom"/>
            <w:shd w:val="clear" w:color="auto" w:fill="auto"/>
          </w:tcPr>
          <w:p/>
        </w:tc>
        <w:tc>
          <w:tcPr>
            <w:tcW w:w="344" w:type="dxa"/>
            <w:vMerge/>
            <w:vAlign w:val="bottom"/>
            <w:tcBorders>
              <w:bottom w:val="single" w:sz="5" w:space="0" w:color="000000"/>
            </w:tcBorders>
            <w:shd w:val="clear" w:color="auto" w:fill="auto"/>
          </w:tcPr>
          <w:p/>
        </w:tc>
        <w:tc>
          <w:tcPr>
            <w:tcW w:w="229" w:type="dxa"/>
            <w:vMerge/>
            <w:vAlign w:val="bottom"/>
            <w:shd w:val="clear" w:color="auto" w:fill="auto"/>
          </w:tcPr>
          <w:p/>
        </w:tc>
        <w:tc>
          <w:tcPr>
            <w:tcW w:w="5072" w:type="dxa"/>
            <w:gridSpan w:val="10"/>
            <w:tcBorders>
              <w:right w:val="single" w:sz="15" w:space="0" w:color="000000"/>
            </w:tcBorders>
          </w:tcPr>
          <w:p/>
        </w:tc>
        <w:tc>
          <w:tcPr>
            <w:tcW w:w="1247" w:type="dxa"/>
            <w:gridSpan w:val="3"/>
            <w:vMerge w:val="restart"/>
            <w:vAlign w:val="center"/>
            <w:tcBorders>
              <w:top w:val="single" w:sz="1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КОДЫ</w:t>
            </w:r>
          </w:p>
        </w:tc>
        <w:tc>
          <w:tcPr>
            <w:tcW w:w="57" w:type="dxa"/>
            <w:tcBorders>
              <w:left w:val="single" w:sz="15" w:space="0" w:color="000000"/>
            </w:tcBorders>
          </w:tcPr>
          <w:p/>
        </w:tc>
      </w:tr>
      <w:tr>
        <w:trPr>
          <w:trHeight w:hRule="exact" w:val="229"/>
        </w:trPr>
        <w:tc>
          <w:tcPr>
            <w:tcW w:w="6319" w:type="dxa"/>
            <w:gridSpan w:val="9"/>
          </w:tcPr>
          <w:p/>
        </w:tc>
        <w:tc>
          <w:tcPr>
            <w:tcW w:w="344" w:type="dxa"/>
            <w:tcBorders>
              <w:top w:val="single" w:sz="5" w:space="0" w:color="000000"/>
            </w:tcBorders>
          </w:tcPr>
          <w:p/>
        </w:tc>
        <w:tc>
          <w:tcPr>
            <w:tcW w:w="100" w:type="dxa"/>
          </w:tcPr>
          <w:p/>
        </w:tc>
        <w:tc>
          <w:tcPr>
            <w:tcW w:w="1590" w:type="dxa"/>
            <w:tcBorders>
              <w:top w:val="single" w:sz="5" w:space="0" w:color="000000"/>
            </w:tcBorders>
          </w:tcPr>
          <w:p/>
        </w:tc>
        <w:tc>
          <w:tcPr>
            <w:tcW w:w="330" w:type="dxa"/>
            <w:gridSpan w:val="2"/>
          </w:tcPr>
          <w:p/>
        </w:tc>
        <w:tc>
          <w:tcPr>
            <w:tcW w:w="344" w:type="dxa"/>
            <w:tcBorders>
              <w:top w:val="single" w:sz="5" w:space="0" w:color="000000"/>
            </w:tcBorders>
          </w:tcPr>
          <w:p/>
        </w:tc>
        <w:tc>
          <w:tcPr>
            <w:tcW w:w="5301" w:type="dxa"/>
            <w:gridSpan w:val="11"/>
            <w:tcBorders>
              <w:right w:val="single" w:sz="15" w:space="0" w:color="000000"/>
            </w:tcBorders>
          </w:tcPr>
          <w:p/>
        </w:tc>
        <w:tc>
          <w:tcPr>
            <w:tcW w:w="1247" w:type="dxa"/>
            <w:gridSpan w:val="3"/>
            <w:vMerge/>
            <w:vAlign w:val="center"/>
            <w:tcBorders>
              <w:top w:val="single" w:sz="15" w:space="0" w:color="000000"/>
              <w:left w:val="single" w:sz="1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330"/>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Орган, осуществляющий</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функции и полномочия учредителя </w:t>
            </w:r>
          </w:p>
        </w:tc>
        <w:tc>
          <w:tcPr>
            <w:tcW w:w="9471" w:type="dxa"/>
            <w:gridSpan w:val="1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Министерство науки и высшего образования Российской Федерации</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Дата</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09.02.2026</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00100075</w:t>
            </w:r>
          </w:p>
        </w:tc>
        <w:tc>
          <w:tcPr>
            <w:tcW w:w="57" w:type="dxa"/>
            <w:tcBorders>
              <w:left w:val="single" w:sz="15" w:space="0" w:color="000000"/>
            </w:tcBorders>
          </w:tcPr>
          <w:p/>
        </w:tc>
      </w:tr>
      <w:tr>
        <w:trPr>
          <w:trHeight w:hRule="exact" w:val="329"/>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Учреждение</w:t>
            </w:r>
          </w:p>
        </w:tc>
        <w:tc>
          <w:tcPr>
            <w:tcW w:w="9471" w:type="dxa"/>
            <w:gridSpan w:val="16"/>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ГОСУДАРСТВЕННОЕ БЮДЖЕТНОЕ НАУЧНОЕ УЧРЕЖДЕНИЕ "НАУЧНЫЙ ЦЕНТР ПСИХИЧЕСКОГО ЗДОРОВЬЯ"</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Глава по БК</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075</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001У6448</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ИНН</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7724011923</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КПП</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772401001</w:t>
            </w:r>
          </w:p>
        </w:tc>
        <w:tc>
          <w:tcPr>
            <w:tcW w:w="57" w:type="dxa"/>
            <w:tcBorders>
              <w:left w:val="single" w:sz="15" w:space="0" w:color="000000"/>
            </w:tcBorders>
          </w:tcPr>
          <w:p/>
        </w:tc>
      </w:tr>
      <w:tr>
        <w:trPr>
          <w:trHeight w:hRule="exact" w:val="344"/>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Вид документа</w:t>
            </w:r>
          </w:p>
        </w:tc>
        <w:tc>
          <w:tcPr>
            <w:tcW w:w="9471" w:type="dxa"/>
            <w:gridSpan w:val="16"/>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Уточнённый</w:t>
            </w:r>
            <w:r>
              <w:rPr>
                <w:rFonts w:ascii="Times New Roman" w:hAnsi="Times New Roman" w:eastAsia="Times New Roman" w:cs="Times New Roman"/>
                <w:color w:val="000000"/>
                <w:sz w:val="20"/>
                <w:spacing w:val="-2"/>
                <w:vertAlign w:val="superscript"/>
                <w:shd w:val="auto"/>
              </w:rPr>
              <w:t xml:space="preserve">2</w:t>
            </w:r>
          </w:p>
        </w:tc>
        <w:tc>
          <w:tcPr>
            <w:tcW w:w="1920" w:type="dxa"/>
            <w:gridSpan w:val="5"/>
            <w:tcBorders>
              <w:right w:val="single" w:sz="15" w:space="0" w:color="000000"/>
            </w:tcBorders>
          </w:tcP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57" w:type="dxa"/>
            <w:tcBorders>
              <w:left w:val="single" w:sz="15" w:space="0" w:color="000000"/>
            </w:tcBorders>
          </w:tcPr>
          <w:p/>
        </w:tc>
      </w:tr>
      <w:tr>
        <w:trPr>
          <w:trHeight w:hRule="exact" w:val="343"/>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Единица измерения: руб</w:t>
            </w:r>
          </w:p>
        </w:tc>
        <w:tc>
          <w:tcPr>
            <w:tcW w:w="9471" w:type="dxa"/>
            <w:gridSpan w:val="16"/>
            <w:tcBorders>
              <w:top w:val="single" w:sz="5" w:space="0" w:color="000000"/>
            </w:tcBorders>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ОКЕИ</w:t>
            </w:r>
          </w:p>
        </w:tc>
        <w:tc>
          <w:tcPr>
            <w:tcW w:w="1247" w:type="dxa"/>
            <w:gridSpan w:val="3"/>
            <w:vAlign w:val="center"/>
            <w:tcBorders>
              <w:top w:val="single" w:sz="5" w:space="0" w:color="000000"/>
              <w:left w:val="single" w:sz="1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383</w:t>
            </w:r>
          </w:p>
        </w:tc>
        <w:tc>
          <w:tcPr>
            <w:tcW w:w="57" w:type="dxa"/>
            <w:tcBorders>
              <w:left w:val="single" w:sz="15" w:space="0" w:color="000000"/>
            </w:tcBorders>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215"/>
        <w:gridCol w:w="215"/>
        <w:gridCol w:w="215"/>
        <w:gridCol w:w="5903"/>
        <w:gridCol w:w="215"/>
        <w:gridCol w:w="215"/>
        <w:gridCol w:w="215"/>
        <w:gridCol w:w="472"/>
        <w:gridCol w:w="688"/>
        <w:gridCol w:w="1347"/>
        <w:gridCol w:w="1476"/>
        <w:gridCol w:w="1461"/>
        <w:gridCol w:w="1462"/>
        <w:gridCol w:w="1476"/>
        <w:gridCol w:w="57"/>
      </w:tblGrid>
      <w:tr>
        <w:trPr>
          <w:trHeight w:hRule="exact" w:val="344"/>
        </w:trPr>
        <w:tc>
          <w:tcPr>
            <w:tcW w:w="15575" w:type="dxa"/>
            <w:gridSpan w:val="14"/>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Раздел 1. Поступления и выплаты</w:t>
            </w:r>
          </w:p>
        </w:tc>
        <w:tc>
          <w:tcPr>
            <w:tcW w:w="57" w:type="dxa"/>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начало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35 914 052,56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конец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48 750 430,87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386 829 263,83</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1 355 116 738,16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1 717 962 476,08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1 434 638 676,08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1 367 990 376,08</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собственности</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511 276,08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511 276,08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511 276,08</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оказания услуг, работ, компенсации затрат учреждений,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1 677 002 200,00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1 394 127 400,00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1 367 479 100,00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субсидии на финансовое обеспечение выполнения государственного задания за счет средств федерального бюджета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1 317 002 200,00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994 127 400,00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927 479 100,00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от приносящей доход деятельности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360 000 000,00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440 000 000,00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штрафов, пеней, иных сумм принудительного изъятия</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денежные поступления,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38 439 000,00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целевые субсидии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2 439 000,00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осуществление капитальных вложений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0"/>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гранты в форме субсидий, пожертвования, иные безвозмездные перечисления от физических и юридических лиц, в том числе иностранных организаций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доходы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операций с активами,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операций с нефинансовыми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выбытия основных средств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нематериальных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непроизведенных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материальных запасов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1614</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биологических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операций с 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поступление средств от реализации векселей, облигаций и иных ценных бумаг (кроме акций)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645" w:type="dxa"/>
            <w:gridSpan w:val="3"/>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продажи акций и иных форм участия в капитале, находящихся в федеральной собственности</w:t>
            </w:r>
          </w:p>
        </w:tc>
        <w:tc>
          <w:tcPr>
            <w:tcW w:w="472" w:type="dxa"/>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1622</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0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денежных средств с иных финансовых активов, в том числе со счетов управляющих компаний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поступления, всего</w:t>
            </w:r>
            <w:r>
              <w:rPr>
                <w:rFonts w:ascii="Times New Roman" w:hAnsi="Times New Roman" w:eastAsia="Times New Roman" w:cs="Times New Roman"/>
                <w:color w:val="000000"/>
                <w:sz w:val="20"/>
                <w:spacing w:val="-2"/>
                <w:vertAlign w:val="superscript"/>
                <w:shd w:val="auto"/>
              </w:rPr>
              <w:t xml:space="preserve">5</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увеличение остатков денежных средств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6</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от погашения предоставленных ранее ссуд, кредитов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получение ссуд, кредитов (заимствований)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1 705 126 097,77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1 047 809 412,25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12 873 637,92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 выплаты персоналу,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1 370 578 446,21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993 219 481,41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1 380 000,00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оплата труда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1 058 330 000,00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763 357 804,00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1 380 000,00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персоналу, в том числе компенсационного характера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за исключением фонда оплаты труда учреждения, для выполнения отдельных полномочий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по обязательному социальному страхованию на выплаты по оплате труда работников и иные выплаты работникам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312 248 446,21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229 861 677,41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денежное довольствие военнослужащих и сотрудников, имеющих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военнослужащим и сотрудникам, имеющим специальные звания, зависящие от размера денежного довольствия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военнослужащим и сотрудникам, имеющим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2170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страховые взносы на обязательное социальное страхование в части выплат персоналу, подлежащих обложению страховыми взносами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2180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социальные и иные выплаты населению,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пособия, компенсации и иные социальные выплаты гражданам, кроме публичных нормативных обязательств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приобретение товаров, работ, услуг в пользу граждан в целях их социального обеспечения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выплата стипендий, осуществление иных расходов на социальную поддержку обучающихся за счет средств стипендиального фонда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350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30"/>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населению</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налогов, сборов и иных платежей,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налог на имущество организаций и земельный налог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11 493 637,92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налоги (включаемые в состав расходов) в бюджеты бюджетной системы Российской Федерации, а также государственная пошлина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штрафов (в том числе административных), пеней, иных платежей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перечисления организациям и физическим лицам,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гранты, предоставляемые бюджетным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автономным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иным некоммерческим организациям (за исключением бюджетных и автономных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юридическим лицам (кроме некоммерческих организаций), индивидуальным предпринимателям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в международные организации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платежи в целях обеспечения реализации соглашений с правительствами иностранных государств и международными организациями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(кроме выплат на закупку товаров, работ, услуг),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17"/>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45"/>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исполнение судебных актов судебных органов иностранных государств, международных судов и арбитражей, мировых соглашений, заключенных в рамках судебных процессов в судебных органах иностранных государств, в международных судах и арбитражах</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расходы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7</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323 054 013,64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43 096 292,92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закупку научно-исследовательских, опытно-конструкторских и технологических работ</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капитального ремонта государственного (муниципального)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прочую закупку товаров, работ и услуг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281 572 981,33</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43 096 292,92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создания, развития, эксплуатации и вывода из эксплуатации государственных информационных систем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энергетических ресурсов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41 481 032,31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лизинговые платежи по договору финансовой аренды (лизинга), не являющиеся бюджетными инвестициями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248</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капитальные вложения в объекты государственной (муниципальной) собственности,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приобретение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строительство (реконструкция)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бюджетные инвестиции по договору финансовой аренды (лизинга)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специальные расходы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2800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уменьшающие доход, всего</w:t>
            </w:r>
            <w:r>
              <w:rPr>
                <w:rFonts w:ascii="Times New Roman" w:hAnsi="Times New Roman" w:eastAsia="Times New Roman" w:cs="Times New Roman"/>
                <w:color w:val="000000"/>
                <w:sz w:val="20"/>
                <w:spacing w:val="-2"/>
                <w:vertAlign w:val="superscript"/>
                <w:shd w:val="auto"/>
              </w:rPr>
              <w:t xml:space="preserve">8</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налог на прибыль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налог на добавленную стоимость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налоги, уменьшающие доход</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всего</w:t>
            </w:r>
            <w:r>
              <w:rPr>
                <w:rFonts w:ascii="Times New Roman" w:hAnsi="Times New Roman" w:eastAsia="Times New Roman" w:cs="Times New Roman"/>
                <w:color w:val="000000"/>
                <w:sz w:val="20"/>
                <w:spacing w:val="-2"/>
                <w:vertAlign w:val="superscript"/>
                <w:shd w:val="auto"/>
              </w:rPr>
              <w:t xml:space="preserve">9</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уменьшение остатков денежных средств</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перечисление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10</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векселя, облигации и иные ценные бумаги (кроме акций)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акции и иные финансовые инструменты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предоставление ссуд, кредитов (заимствований)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ссуд, кредитов (заимствований)</w:t>
            </w:r>
          </w:p>
        </w:tc>
        <w:tc>
          <w:tcPr>
            <w:tcW w:w="902" w:type="dxa"/>
            <w:gridSpan w:val="3"/>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30"/>
        </w:trPr>
        <w:tc>
          <w:tcPr>
            <w:tcW w:w="15575" w:type="dxa"/>
            <w:gridSpan w:val="14"/>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903"/>
        <w:gridCol w:w="4398"/>
        <w:gridCol w:w="903"/>
        <w:gridCol w:w="788"/>
        <w:gridCol w:w="1361"/>
        <w:gridCol w:w="1347"/>
        <w:gridCol w:w="1476"/>
        <w:gridCol w:w="1461"/>
        <w:gridCol w:w="1462"/>
        <w:gridCol w:w="1476"/>
        <w:gridCol w:w="57"/>
      </w:tblGrid>
      <w:tr>
        <w:trPr>
          <w:trHeight w:hRule="exact" w:val="344"/>
        </w:trPr>
        <w:tc>
          <w:tcPr>
            <w:tcW w:w="15575" w:type="dxa"/>
            <w:gridSpan w:val="10"/>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Раздел 2. Сведения по выплатам на закупки товаров, работ, услуг</w:t>
            </w:r>
            <w:r>
              <w:rPr>
                <w:rFonts w:ascii="Times New Roman" w:hAnsi="Times New Roman" w:eastAsia="Times New Roman" w:cs="Times New Roman"/>
                <w:color w:val="000000"/>
                <w:sz w:val="20"/>
                <w:spacing w:val="-2"/>
                <w:vertAlign w:val="superscript"/>
                <w:shd w:val="auto"/>
              </w:rPr>
              <w:t xml:space="preserve">11</w:t>
            </w:r>
          </w:p>
        </w:tc>
        <w:tc>
          <w:tcPr>
            <w:tcW w:w="57" w:type="dxa"/>
          </w:tcPr>
          <w:p/>
        </w:tc>
      </w:tr>
      <w:tr>
        <w:trPr>
          <w:trHeight w:hRule="exact" w:val="329"/>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14</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323 054 013,64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43 096 292,92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433"/>
        </w:trPr>
        <w:tc>
          <w:tcPr>
            <w:tcW w:w="903" w:type="dxa"/>
            <w:vMerge w:val="restart"/>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w:t>
            </w:r>
          </w:p>
        </w:tc>
        <w:tc>
          <w:tcPr>
            <w:tcW w:w="4398" w:type="dxa"/>
            <w:vMerge w:val="restart"/>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контрактам(договорам), заключенным до начала текущего финансового года без применения норм Федерального закона от 5 апреля 2013 г. N 44 - 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2022, N 29, ст. 5239) (далее – Федеральный закон N 44 - ФЗ) и Федерального закона от 18 июля 2011 г. N 223 - ФЗ "О закупках товаров, работ, услуг отдельными видами юридических лиц" (Собрание законодательства Российской Федерации, 2011, N 30, ст. 4571; 2022, N 29, ст. 5239) (далее – Федеральный закон N 223 - ФЗ)15</w:t>
            </w:r>
            <w:r>
              <w:rPr>
                <w:rFonts w:ascii="Times New Roman" w:hAnsi="Times New Roman" w:eastAsia="Times New Roman" w:cs="Times New Roman"/>
                <w:color w:val="000000"/>
                <w:sz w:val="20"/>
                <w:spacing w:val="-2"/>
                <w:vertAlign w:val="superscript"/>
                <w:shd w:val="auto"/>
              </w:rPr>
              <w:t xml:space="preserve">15</w:t>
            </w:r>
          </w:p>
        </w:tc>
        <w:tc>
          <w:tcPr>
            <w:tcW w:w="903"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261000</w:t>
            </w:r>
          </w:p>
        </w:tc>
        <w:tc>
          <w:tcPr>
            <w:tcW w:w="788"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Merge w:val="restart"/>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60"/>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46"/>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без применения норм Федерального закона N 44-ФЗ и Федерального закона N 223-ФЗ</w:t>
            </w:r>
            <w:r>
              <w:rPr>
                <w:rFonts w:ascii="Times New Roman" w:hAnsi="Times New Roman" w:eastAsia="Times New Roman" w:cs="Times New Roman"/>
                <w:color w:val="000000"/>
                <w:sz w:val="20"/>
                <w:spacing w:val="-2"/>
                <w:vertAlign w:val="superscript"/>
                <w:shd w:val="auto"/>
              </w:rPr>
              <w:t xml:space="preserve">15</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заключенным до начала текущего финансового года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264 359 565,56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42 526 516,92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206 878 565,56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42 526 516,92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57 481 000,00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58 694 448,08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569 776,00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68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w:t>
            </w: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за счет субсидий, предоставляемых на финансовое обеспечение выполнения государственного(муниципального) задания, всего</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49 812 755,88</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484 309,60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6"/>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49 812 755,88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484 309,60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в соответствии с абзацем вторым пункта 1 статьи 78.1 Бюджетного кодекса Российской Федерации,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на осуществление капитальных вложений</w:t>
            </w:r>
            <w:r>
              <w:rPr>
                <w:rFonts w:ascii="Times New Roman" w:hAnsi="Times New Roman" w:eastAsia="Times New Roman" w:cs="Times New Roman"/>
                <w:color w:val="000000"/>
                <w:sz w:val="20"/>
                <w:spacing w:val="-2"/>
                <w:vertAlign w:val="superscript"/>
                <w:shd w:val="auto"/>
              </w:rPr>
              <w:t xml:space="preserve">18</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264300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средств обязательного медицинского страхования,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прочих источников финансового обеспечения,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8 881 692,20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85 466,40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8 881 692,20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85 466,40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контрактам, планируемым к заключению в соответствующем финансовом году в соответствии с Федеральным законом N 44-ФЗ,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58 694 448,08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569 776,00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58 694 448,08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569 776,00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договорам, планируемым к заключению в соответствующем финансовом году в соответствии с Федеральным законом N 223-ФЗ, по соответствующему году закупки</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101"/>
        </w:trPr>
        <w:tc>
          <w:tcPr>
            <w:tcW w:w="15575" w:type="dxa"/>
            <w:gridSpan w:val="10"/>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15"/>
        <w:gridCol w:w="114"/>
        <w:gridCol w:w="330"/>
        <w:gridCol w:w="114"/>
        <w:gridCol w:w="1576"/>
        <w:gridCol w:w="129"/>
        <w:gridCol w:w="230"/>
        <w:gridCol w:w="329"/>
        <w:gridCol w:w="15"/>
        <w:gridCol w:w="200"/>
        <w:gridCol w:w="86"/>
        <w:gridCol w:w="29"/>
        <w:gridCol w:w="4069"/>
        <w:gridCol w:w="115"/>
        <w:gridCol w:w="4513"/>
        <w:gridCol w:w="115"/>
        <w:gridCol w:w="3496"/>
        <w:gridCol w:w="57"/>
      </w:tblGrid>
      <w:tr>
        <w:trPr>
          <w:trHeight w:hRule="exact" w:val="1361"/>
        </w:trPr>
        <w:tc>
          <w:tcPr>
            <w:tcW w:w="15632" w:type="dxa"/>
            <w:gridSpan w:val="18"/>
          </w:tcPr>
          <w:p/>
        </w:tc>
      </w:tr>
      <w:tr>
        <w:trPr>
          <w:trHeight w:hRule="exact" w:val="1347"/>
        </w:trPr>
        <w:tc>
          <w:tcPr>
            <w:tcW w:w="15632" w:type="dxa"/>
            <w:gridSpan w:val="18"/>
          </w:tcPr>
          <w:p/>
        </w:tc>
      </w:tr>
      <w:tr>
        <w:trPr>
          <w:trHeight w:hRule="exact" w:val="344"/>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ИСПОЛНЯЮЩАЯ ОБЯЗАННОСТИ ДИРЕКТОРА:</w:t>
            </w:r>
          </w:p>
        </w:tc>
        <w:tc>
          <w:tcPr>
            <w:tcW w:w="4743" w:type="dxa"/>
            <w:gridSpan w:val="3"/>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ЧАЙКА Ю. А.</w:t>
            </w:r>
          </w:p>
        </w:tc>
        <w:tc>
          <w:tcPr>
            <w:tcW w:w="57" w:type="dxa"/>
          </w:tcPr>
          <w:p/>
        </w:tc>
      </w:tr>
      <w:tr>
        <w:trPr>
          <w:trHeight w:hRule="exact" w:val="215"/>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Руководитель учреждения</w:t>
            </w:r>
          </w:p>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(уполномоченное лицо учреждения)</w:t>
            </w:r>
          </w:p>
        </w:tc>
        <w:tc>
          <w:tcPr>
            <w:tcW w:w="115" w:type="dxa"/>
            <w:gridSpan w:val="2"/>
          </w:tcPr>
          <w:p/>
        </w:tc>
        <w:tc>
          <w:tcPr>
            <w:tcW w:w="4069" w:type="dxa"/>
            <w:vMerge/>
            <w:vAlign w:val="bottom"/>
            <w:tcBorders>
              <w:bottom w:val="single" w:sz="5" w:space="0" w:color="000000"/>
            </w:tcBorders>
            <w:shd w:val="clear" w:color="auto" w:fill="auto"/>
          </w:tcPr>
          <w:p/>
        </w:tc>
        <w:tc>
          <w:tcPr>
            <w:tcW w:w="115" w:type="dxa"/>
          </w:tcPr>
          <w:p/>
        </w:tc>
        <w:tc>
          <w:tcPr>
            <w:tcW w:w="4513" w:type="dxa"/>
            <w:tcBorders>
              <w:bottom w:val="single" w:sz="5" w:space="0" w:color="000000"/>
            </w:tcBorders>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58"/>
        </w:trPr>
        <w:tc>
          <w:tcPr>
            <w:tcW w:w="115" w:type="dxa"/>
          </w:tcPr>
          <w:p/>
        </w:tc>
        <w:tc>
          <w:tcPr>
            <w:tcW w:w="3037" w:type="dxa"/>
            <w:gridSpan w:val="9"/>
            <w:vMerge/>
            <w:shd w:val="clear" w:color="auto" w:fill="auto"/>
          </w:tcPr>
          <w:p/>
        </w:tc>
        <w:tc>
          <w:tcPr>
            <w:tcW w:w="115" w:type="dxa"/>
            <w:gridSpan w:val="2"/>
          </w:tcPr>
          <w:p/>
        </w:tc>
        <w:tc>
          <w:tcPr>
            <w:tcW w:w="4069"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tcPr>
          <w:p/>
        </w:tc>
        <w:tc>
          <w:tcPr>
            <w:tcW w:w="4513"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(подпись)</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(расшифровка подписи)</w:t>
            </w:r>
          </w:p>
        </w:tc>
        <w:tc>
          <w:tcPr>
            <w:tcW w:w="57" w:type="dxa"/>
          </w:tcPr>
          <w:p/>
        </w:tc>
      </w:tr>
      <w:tr>
        <w:trPr>
          <w:trHeight w:hRule="exact" w:val="114"/>
        </w:trPr>
        <w:tc>
          <w:tcPr>
            <w:tcW w:w="15632" w:type="dxa"/>
            <w:gridSpan w:val="18"/>
          </w:tcPr>
          <w:p/>
        </w:tc>
      </w:tr>
      <w:tr>
        <w:trPr>
          <w:trHeight w:hRule="exact" w:val="230"/>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ИСПОЛНЯЮЩАЯ ОБЯЗАННОСТИ ДИРЕКТОРА:</w:t>
            </w:r>
          </w:p>
        </w:tc>
        <w:tc>
          <w:tcPr>
            <w:tcW w:w="8296" w:type="dxa"/>
            <w:gridSpan w:val="5"/>
          </w:tcPr>
          <w:p/>
        </w:tc>
      </w:tr>
      <w:tr>
        <w:trPr>
          <w:trHeight w:hRule="exact" w:val="100"/>
        </w:trPr>
        <w:tc>
          <w:tcPr>
            <w:tcW w:w="3267" w:type="dxa"/>
            <w:gridSpan w:val="12"/>
          </w:tcPr>
          <w:p/>
        </w:tc>
        <w:tc>
          <w:tcPr>
            <w:tcW w:w="4069" w:type="dxa"/>
            <w:vMerge/>
            <w:vAlign w:val="bottom"/>
            <w:tcBorders>
              <w:bottom w:val="single" w:sz="5" w:space="0" w:color="000000"/>
            </w:tcBorders>
            <w:shd w:val="clear" w:color="auto" w:fill="auto"/>
          </w:tcPr>
          <w:p/>
        </w:tc>
        <w:tc>
          <w:tcPr>
            <w:tcW w:w="115" w:type="dxa"/>
          </w:tcPr>
          <w:p/>
        </w:tc>
        <w:tc>
          <w:tcPr>
            <w:tcW w:w="4513"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ЧАЙКА Ю. А.</w:t>
            </w:r>
          </w:p>
        </w:tc>
        <w:tc>
          <w:tcPr>
            <w:tcW w:w="115" w:type="dxa"/>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84951090312</w:t>
            </w:r>
          </w:p>
        </w:tc>
        <w:tc>
          <w:tcPr>
            <w:tcW w:w="57" w:type="dxa"/>
          </w:tcPr>
          <w:p/>
        </w:tc>
      </w:tr>
      <w:tr>
        <w:trPr>
          <w:trHeight w:hRule="exact" w:val="229"/>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Исполнитель   </w:t>
            </w:r>
          </w:p>
        </w:tc>
        <w:tc>
          <w:tcPr>
            <w:tcW w:w="115" w:type="dxa"/>
            <w:gridSpan w:val="2"/>
          </w:tcPr>
          <w:p/>
        </w:tc>
        <w:tc>
          <w:tcPr>
            <w:tcW w:w="4069" w:type="dxa"/>
            <w:vMerge/>
            <w:vAlign w:val="bottom"/>
            <w:tcBorders>
              <w:bottom w:val="single" w:sz="5" w:space="0" w:color="000000"/>
            </w:tcBorders>
            <w:shd w:val="clear" w:color="auto" w:fill="auto"/>
          </w:tcPr>
          <w:p/>
        </w:tc>
        <w:tc>
          <w:tcPr>
            <w:tcW w:w="115" w:type="dxa"/>
          </w:tcPr>
          <w:p/>
        </w:tc>
        <w:tc>
          <w:tcPr>
            <w:tcW w:w="4513" w:type="dxa"/>
            <w:vMerge/>
            <w:vAlign w:val="bottom"/>
            <w:tcBorders>
              <w:bottom w:val="single" w:sz="5" w:space="0" w:color="000000"/>
            </w:tcBorders>
            <w:shd w:val="clear" w:color="auto" w:fill="auto"/>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29"/>
        </w:trPr>
        <w:tc>
          <w:tcPr>
            <w:tcW w:w="115" w:type="dxa"/>
          </w:tcPr>
          <w:p/>
        </w:tc>
        <w:tc>
          <w:tcPr>
            <w:tcW w:w="3037" w:type="dxa"/>
            <w:gridSpan w:val="9"/>
            <w:vMerge/>
            <w:shd w:val="clear" w:color="auto" w:fill="auto"/>
          </w:tcPr>
          <w:p/>
        </w:tc>
        <w:tc>
          <w:tcPr>
            <w:tcW w:w="115" w:type="dxa"/>
            <w:gridSpan w:val="2"/>
          </w:tcPr>
          <w:p/>
        </w:tc>
        <w:tc>
          <w:tcPr>
            <w:tcW w:w="4069" w:type="dxa"/>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tcPr>
          <w:p/>
        </w:tc>
        <w:tc>
          <w:tcPr>
            <w:tcW w:w="4513" w:type="dxa"/>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(фамилия, инициалы) </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(телефон)</w:t>
            </w:r>
          </w:p>
        </w:tc>
        <w:tc>
          <w:tcPr>
            <w:tcW w:w="57" w:type="dxa"/>
          </w:tcPr>
          <w:p/>
        </w:tc>
      </w:tr>
      <w:tr>
        <w:trPr>
          <w:trHeight w:hRule="exact" w:val="29"/>
        </w:trPr>
        <w:tc>
          <w:tcPr>
            <w:tcW w:w="3267" w:type="dxa"/>
            <w:gridSpan w:val="12"/>
          </w:tcPr>
          <w:p/>
        </w:tc>
        <w:tc>
          <w:tcPr>
            <w:tcW w:w="4069" w:type="dxa"/>
            <w:vMerge/>
            <w:tcBorders>
              <w:top w:val="single" w:sz="5" w:space="0" w:color="000000"/>
            </w:tcBorders>
            <w:shd w:val="clear" w:color="auto" w:fill="auto"/>
          </w:tcPr>
          <w:p/>
        </w:tc>
        <w:tc>
          <w:tcPr>
            <w:tcW w:w="115" w:type="dxa"/>
          </w:tcPr>
          <w:p/>
        </w:tc>
        <w:tc>
          <w:tcPr>
            <w:tcW w:w="4513" w:type="dxa"/>
            <w:vMerge/>
            <w:tcBorders>
              <w:top w:val="single" w:sz="5" w:space="0" w:color="000000"/>
            </w:tcBorders>
            <w:shd w:val="clear" w:color="auto" w:fill="auto"/>
          </w:tcPr>
          <w:p/>
        </w:tc>
        <w:tc>
          <w:tcPr>
            <w:tcW w:w="3668" w:type="dxa"/>
            <w:gridSpan w:val="3"/>
          </w:tcPr>
          <w:p/>
        </w:tc>
      </w:tr>
      <w:tr>
        <w:trPr>
          <w:trHeight w:hRule="exact" w:val="229"/>
        </w:trPr>
        <w:tc>
          <w:tcPr>
            <w:tcW w:w="15632" w:type="dxa"/>
            <w:gridSpan w:val="18"/>
          </w:tcPr>
          <w:p/>
        </w:tc>
      </w:tr>
      <w:tr>
        <w:trPr>
          <w:trHeight w:hRule="exact" w:val="15"/>
        </w:trPr>
        <w:tc>
          <w:tcPr>
            <w:tcW w:w="229" w:type="dxa"/>
            <w:gridSpan w:val="2"/>
          </w:tcPr>
          <w:p/>
        </w:tc>
        <w:tc>
          <w:tcPr>
            <w:tcW w:w="33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"09"</w:t>
            </w:r>
          </w:p>
        </w:tc>
        <w:tc>
          <w:tcPr>
            <w:tcW w:w="15073" w:type="dxa"/>
            <w:gridSpan w:val="15"/>
          </w:tcPr>
          <w:p/>
        </w:tc>
      </w:tr>
      <w:tr>
        <w:trPr>
          <w:trHeight w:hRule="exact" w:val="215"/>
        </w:trPr>
        <w:tc>
          <w:tcPr>
            <w:tcW w:w="229" w:type="dxa"/>
            <w:gridSpan w:val="2"/>
          </w:tcPr>
          <w:p/>
        </w:tc>
        <w:tc>
          <w:tcPr>
            <w:tcW w:w="330" w:type="dxa"/>
            <w:vMerge/>
            <w:vAlign w:val="bottom"/>
            <w:tcBorders>
              <w:bottom w:val="single" w:sz="5" w:space="0" w:color="000000"/>
            </w:tcBorders>
            <w:shd w:val="clear" w:color="auto" w:fill="auto"/>
          </w:tcPr>
          <w:p/>
        </w:tc>
        <w:tc>
          <w:tcPr>
            <w:tcW w:w="114" w:type="dxa"/>
          </w:tcPr>
          <w:p/>
        </w:tc>
        <w:tc>
          <w:tcPr>
            <w:tcW w:w="157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Февраль</w:t>
            </w:r>
          </w:p>
        </w:tc>
        <w:tc>
          <w:tcPr>
            <w:tcW w:w="129" w:type="dxa"/>
          </w:tcPr>
          <w:p/>
        </w:tc>
        <w:tc>
          <w:tcPr>
            <w:tcW w:w="230"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29"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301" w:type="dxa"/>
            <w:gridSpan w:val="3"/>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19</w:t>
            </w:r>
          </w:p>
        </w:tc>
        <w:tc>
          <w:tcPr>
            <w:tcW w:w="12394" w:type="dxa"/>
            <w:gridSpan w:val="7"/>
          </w:tcPr>
          <w:p/>
        </w:tc>
      </w:tr>
      <w:tr>
        <w:trPr>
          <w:trHeight w:hRule="exact" w:val="14"/>
        </w:trPr>
        <w:tc>
          <w:tcPr>
            <w:tcW w:w="229" w:type="dxa"/>
            <w:gridSpan w:val="2"/>
          </w:tcPr>
          <w:p/>
        </w:tc>
        <w:tc>
          <w:tcPr>
            <w:tcW w:w="330" w:type="dxa"/>
            <w:tcBorders>
              <w:top w:val="single" w:sz="5" w:space="0" w:color="000000"/>
            </w:tcBorders>
          </w:tcPr>
          <w:p/>
        </w:tc>
        <w:tc>
          <w:tcPr>
            <w:tcW w:w="114" w:type="dxa"/>
          </w:tcPr>
          <w:p/>
        </w:tc>
        <w:tc>
          <w:tcPr>
            <w:tcW w:w="1576" w:type="dxa"/>
            <w:vMerge/>
            <w:vAlign w:val="bottom"/>
            <w:tcBorders>
              <w:bottom w:val="single" w:sz="5" w:space="0" w:color="000000"/>
            </w:tcBorders>
            <w:shd w:val="clear" w:color="auto" w:fill="auto"/>
          </w:tcPr>
          <w:p/>
        </w:tc>
        <w:tc>
          <w:tcPr>
            <w:tcW w:w="359" w:type="dxa"/>
            <w:gridSpan w:val="2"/>
          </w:tcPr>
          <w:p/>
        </w:tc>
        <w:tc>
          <w:tcPr>
            <w:tcW w:w="329" w:type="dxa"/>
            <w:tcBorders>
              <w:top w:val="single" w:sz="5" w:space="0" w:color="000000"/>
            </w:tcBorders>
          </w:tcPr>
          <w:p/>
        </w:tc>
        <w:tc>
          <w:tcPr>
            <w:tcW w:w="301" w:type="dxa"/>
            <w:gridSpan w:val="3"/>
            <w:vMerge/>
            <w:vAlign w:val="bottom"/>
            <w:shd w:val="clear" w:color="auto" w:fill="auto"/>
          </w:tcPr>
          <w:p/>
        </w:tc>
        <w:tc>
          <w:tcPr>
            <w:tcW w:w="12394" w:type="dxa"/>
            <w:gridSpan w:val="7"/>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5575"/>
        <w:gridCol w:w="57"/>
      </w:tblGrid>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w:t>
            </w:r>
            <w:r>
              <w:rPr>
                <w:rFonts w:ascii="Times New Roman" w:hAnsi="Times New Roman" w:eastAsia="Times New Roman" w:cs="Times New Roman"/>
                <w:color w:val="000000"/>
                <w:sz w:val="20"/>
                <w:spacing w:val="-2"/>
                <w:shd w:val="auto"/>
              </w:rPr>
              <w:t xml:space="preserve"> Указывается дата вступления в силу Плана (изменений в План).</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2</w:t>
            </w:r>
            <w:r>
              <w:rPr>
                <w:rFonts w:ascii="Times New Roman" w:hAnsi="Times New Roman" w:eastAsia="Times New Roman" w:cs="Times New Roman"/>
                <w:color w:val="000000"/>
                <w:sz w:val="20"/>
                <w:spacing w:val="-2"/>
                <w:shd w:val="auto"/>
              </w:rPr>
              <w:t xml:space="preserve"> При представлении уточненного Плана указывается номер очередного внесения изменения в приложение (например, "1", "2", "3", "...").</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3</w:t>
            </w:r>
            <w:r>
              <w:rPr>
                <w:rFonts w:ascii="Times New Roman" w:hAnsi="Times New Roman" w:eastAsia="Times New Roman" w:cs="Times New Roman"/>
                <w:color w:val="000000"/>
                <w:sz w:val="20"/>
                <w:spacing w:val="-2"/>
                <w:shd w:val="auto"/>
              </w:rPr>
              <w:t xml:space="preserve"> В графе 3 отражаются: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1100 - 1600 - коды аналитической группы подвида доходов бюджетов классификации доходов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1710 - 1740 -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2000 - 2642 - коды видов расходов бюджетов классификации расходов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3000 - 3030 -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4000 - 4060 -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4</w:t>
            </w:r>
            <w:r>
              <w:rPr>
                <w:rFonts w:ascii="Times New Roman" w:hAnsi="Times New Roman" w:eastAsia="Times New Roman" w:cs="Times New Roman"/>
                <w:color w:val="000000"/>
                <w:sz w:val="20"/>
                <w:spacing w:val="-2"/>
                <w:shd w:val="auto"/>
              </w:rPr>
              <w:t xml:space="preserve"> 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5</w:t>
            </w:r>
            <w:r>
              <w:rPr>
                <w:rFonts w:ascii="Times New Roman" w:hAnsi="Times New Roman" w:eastAsia="Times New Roman" w:cs="Times New Roman"/>
                <w:color w:val="000000"/>
                <w:sz w:val="20"/>
                <w:spacing w:val="-2"/>
                <w:shd w:val="auto"/>
              </w:rPr>
              <w:t xml:space="preserve">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6</w:t>
            </w:r>
            <w:r>
              <w:rPr>
                <w:rFonts w:ascii="Times New Roman" w:hAnsi="Times New Roman" w:eastAsia="Times New Roman" w:cs="Times New Roman"/>
                <w:color w:val="000000"/>
                <w:sz w:val="20"/>
                <w:spacing w:val="-2"/>
                <w:shd w:val="auto"/>
              </w:rPr>
              <w:t xml:space="preserve"> По строке 1720 отражается поступление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7</w:t>
            </w:r>
            <w:r>
              <w:rPr>
                <w:rFonts w:ascii="Times New Roman" w:hAnsi="Times New Roman" w:eastAsia="Times New Roman" w:cs="Times New Roman"/>
                <w:color w:val="000000"/>
                <w:sz w:val="20"/>
                <w:spacing w:val="-2"/>
                <w:shd w:val="auto"/>
              </w:rPr>
              <w:t xml:space="preserve">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8</w:t>
            </w:r>
            <w:r>
              <w:rPr>
                <w:rFonts w:ascii="Times New Roman" w:hAnsi="Times New Roman" w:eastAsia="Times New Roman" w:cs="Times New Roman"/>
                <w:color w:val="000000"/>
                <w:sz w:val="20"/>
                <w:spacing w:val="-2"/>
                <w:shd w:val="auto"/>
              </w:rPr>
              <w:t xml:space="preserve"> Показатель отражается со знаком "минус".</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9</w:t>
            </w:r>
            <w:r>
              <w:rPr>
                <w:rFonts w:ascii="Times New Roman" w:hAnsi="Times New Roman" w:eastAsia="Times New Roman" w:cs="Times New Roman"/>
                <w:color w:val="000000"/>
                <w:sz w:val="20"/>
                <w:spacing w:val="-2"/>
                <w:shd w:val="auto"/>
              </w:rPr>
              <w:t xml:space="preserve">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10</w:t>
            </w:r>
            <w:r>
              <w:rPr>
                <w:rFonts w:ascii="Times New Roman" w:hAnsi="Times New Roman" w:eastAsia="Times New Roman" w:cs="Times New Roman"/>
                <w:color w:val="000000"/>
                <w:sz w:val="20"/>
                <w:spacing w:val="-2"/>
                <w:shd w:val="auto"/>
              </w:rPr>
              <w:t xml:space="preserve"> По строке 4020 отражается выбытие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11</w:t>
            </w:r>
            <w:r>
              <w:rPr>
                <w:rFonts w:ascii="Times New Roman" w:hAnsi="Times New Roman" w:eastAsia="Times New Roman" w:cs="Times New Roman"/>
                <w:color w:val="000000"/>
                <w:sz w:val="20"/>
                <w:spacing w:val="-2"/>
                <w:shd w:val="auto"/>
              </w:rPr>
              <w:t xml:space="preserve"> В Разделе 2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Раздела 1 «Поступления и выплаты»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12</w:t>
            </w:r>
            <w:r>
              <w:rPr>
                <w:rFonts w:ascii="Times New Roman" w:hAnsi="Times New Roman" w:eastAsia="Times New Roman" w:cs="Times New Roman"/>
                <w:color w:val="000000"/>
                <w:sz w:val="20"/>
                <w:spacing w:val="-2"/>
                <w:shd w:val="auto"/>
              </w:rPr>
              <w:t xml:space="preserve"> В случаях, если учреждению предоставляются субсидия на иные цели, субсидия на осуществление капитальных вложений или гранты в форме субсидий в соответствии с абзацем первым пункта 4 статьи 781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показатели строк 263100, 264210, 264300 и 264510 Раздела 2 «Сведения по выплатам на закупку товаров, работ, услуг» Плана дополнительно детализируются по коду структурного элемента целевой статьи расходов (11 - 12 разряды кода классификации расходов бюджетов) и коду направления расходов целевой статьи расходов (13 - 17 разряды кода классификации расходов бюджетов).</w:t>
            </w:r>
          </w:p>
        </w:tc>
        <w:tc>
          <w:tcPr>
            <w:tcW w:w="57" w:type="dxa"/>
          </w:tcPr>
          <w:p/>
        </w:tc>
      </w:tr>
      <w:tr>
        <w:trPr>
          <w:trHeight w:hRule="exact" w:val="1433"/>
        </w:trPr>
        <w:tc>
          <w:tcPr>
            <w:tcW w:w="15575" w:type="dxa"/>
            <w:vMerge/>
            <w:shd w:val="clear" w:color="auto" w:fill="auto"/>
          </w:tcPr>
          <w:p/>
        </w:tc>
        <w:tc>
          <w:tcPr>
            <w:tcW w:w="57" w:type="dxa"/>
          </w:tcPr>
          <w:p/>
        </w:tc>
      </w:tr>
      <w:tr>
        <w:trPr>
          <w:trHeight w:hRule="exact" w:val="1432"/>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559"/>
        </w:trPr>
        <w:tc>
          <w:tcPr>
            <w:tcW w:w="15632" w:type="dxa"/>
            <w:gridSpan w:val="2"/>
          </w:tcPr>
          <w:p/>
        </w:tc>
      </w:tr>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13</w:t>
            </w:r>
            <w:r>
              <w:rPr>
                <w:rFonts w:ascii="Times New Roman" w:hAnsi="Times New Roman" w:eastAsia="Times New Roman" w:cs="Times New Roman"/>
                <w:color w:val="000000"/>
                <w:sz w:val="20"/>
                <w:spacing w:val="-2"/>
                <w:shd w:val="auto"/>
              </w:rPr>
              <w:t xml:space="preserve">Указывается уникальный код объекта капитального строительства, объекта недвижимого имущества.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14</w:t>
            </w:r>
            <w:r>
              <w:rPr>
                <w:rFonts w:ascii="Times New Roman" w:hAnsi="Times New Roman" w:eastAsia="Times New Roman" w:cs="Times New Roman"/>
                <w:color w:val="000000"/>
                <w:sz w:val="20"/>
                <w:spacing w:val="-2"/>
                <w:shd w:val="auto"/>
              </w:rPr>
              <w:t xml:space="preserve"> Плановые показатели выплат на закупку товаров, работ, услуг по строке 260000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(строки 261000 и 262000),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государственных и муниципальных нужд, с детализацией указанных выплат по контрактам (договорам), заключенным до начала текущего финансового года (строка 263000) и планируемым к заключению в соответствующем финансовом году (строка 264000).</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15</w:t>
            </w:r>
            <w:r>
              <w:rPr>
                <w:rFonts w:ascii="Times New Roman" w:hAnsi="Times New Roman" w:eastAsia="Times New Roman" w:cs="Times New Roman"/>
                <w:color w:val="000000"/>
                <w:sz w:val="20"/>
                <w:spacing w:val="-2"/>
                <w:shd w:val="auto"/>
              </w:rPr>
              <w:t xml:space="preserve"> Указывается сумма контрактов (договоров) на закупку товаров, работ, услуг, заключенных без учета требований Федерального закона № 44-ФЗ и Федерального закона № 223-ФЗ, в случаях предусмотренных указанными федеральными законами.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16</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 и Федеральным законом № 223-ФЗ.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17</w:t>
            </w:r>
            <w:r>
              <w:rPr>
                <w:rFonts w:ascii="Times New Roman" w:hAnsi="Times New Roman" w:eastAsia="Times New Roman" w:cs="Times New Roman"/>
                <w:color w:val="000000"/>
                <w:sz w:val="20"/>
                <w:spacing w:val="-2"/>
                <w:shd w:val="auto"/>
              </w:rPr>
              <w:t xml:space="preserve"> Федеральным государственным бюджетным учреждением показатель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18</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19</w:t>
            </w:r>
            <w:r>
              <w:rPr>
                <w:rFonts w:ascii="Times New Roman" w:hAnsi="Times New Roman" w:eastAsia="Times New Roman" w:cs="Times New Roman"/>
                <w:color w:val="000000"/>
                <w:sz w:val="20"/>
                <w:spacing w:val="-2"/>
                <w:shd w:val="auto"/>
              </w:rPr>
              <w:t xml:space="preserve"> Указывается дата подписания Плана руководителем (уполномоченным лицом) учреждения. </w:t>
            </w:r>
          </w:p>
        </w:tc>
        <w:tc>
          <w:tcPr>
            <w:tcW w:w="57" w:type="dxa"/>
          </w:tcPr>
          <w:p/>
        </w:tc>
      </w:tr>
      <w:tr>
        <w:trPr>
          <w:trHeight w:hRule="exact" w:val="1289"/>
        </w:trPr>
        <w:tc>
          <w:tcPr>
            <w:tcW w:w="15575" w:type="dxa"/>
            <w:vMerge/>
            <w:shd w:val="clear" w:color="auto" w:fill="auto"/>
          </w:tcPr>
          <w:p/>
        </w:tc>
        <w:tc>
          <w:tcPr>
            <w:tcW w:w="57" w:type="dxa"/>
          </w:tcPr>
          <w:p/>
        </w:tc>
      </w:tr>
      <w:tr>
        <w:trPr>
          <w:trHeight w:hRule="exact" w:val="1276"/>
        </w:trPr>
        <w:tc>
          <w:tcPr>
            <w:tcW w:w="15575" w:type="dxa"/>
            <w:vMerge/>
            <w:shd w:val="clear" w:color="auto" w:fill="auto"/>
          </w:tcPr>
          <w:p/>
        </w:tc>
        <w:tc>
          <w:tcPr>
            <w:tcW w:w="57" w:type="dxa"/>
          </w:tcPr>
          <w:p/>
        </w:tc>
      </w:tr>
    </w:tbl>
    <w:sectPr>
      <w:pgSz w:w="16838" w:h="11906" w:orient="landscape"/>
      <w:pgMar w:top="567" w:right="567" w:bottom="517" w:left="567" w:header="567" w:footer="517" w:gutter="0"/>
    </w:sectPr>
  </w:body>
</w:document>
</file>

<file path=word/fontTable.xml><?xml version="1.0" encoding="utf-8"?>
<w:fonts xmlns:r="http://schemas.openxmlformats.org/officeDocument/2006/relationships" xmlns:w="http://schemas.openxmlformats.org/wordprocessingml/2006/main">
  <w:font w:name="Calibri"/>
  <w:font w:name="Cambria"/>
  <w:font w:name="Times New Roman"/>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 2016.2.0 from 23 September 2016</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 2016.2.0 from 23 September 2016</cp:lastModifiedBy>
  <cp:revision>1</cp:revision>
  <dcterms:created xsi:type="dcterms:W3CDTF">2026-03-03T14:54:17Z</dcterms:created>
  <dcterms:modified xsi:type="dcterms:W3CDTF">2026-03-03T14:54:17Z</dcterms:modified>
</cp:coreProperties>
</file>